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ИНФОРМАЦИОННО-МЕТОДИЧЕСКИЙ МАТЕРИАЛ </w:t>
      </w: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ПРОХОЖДЕНИЯ ПСИХИАТРИЧЕСКОГО ОСВИДЕТЕЛЬСТВОВАНИЯ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сентября 2022 года вступает в силу Приказ Министерства здравоохранения Российской Федерации от 20.05.2022 № 342               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</w:t>
      </w:r>
      <w:r>
        <w:rPr>
          <w:rFonts w:ascii="Times New Roman" w:hAnsi="Times New Roman" w:cs="Times New Roman"/>
          <w:sz w:val="28"/>
          <w:szCs w:val="28"/>
        </w:rPr>
        <w:t>твование» (далее – приказ Минздрава от 20.05.2022 № 342н), который будет регулировать порядок прохождения обязательного психиатрического освидетельствования. Он заменит постановление Правительства от 23.09.2002 № 695.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организовать обязательное психиа</w:t>
      </w:r>
      <w:r>
        <w:rPr>
          <w:rFonts w:ascii="Times New Roman" w:hAnsi="Times New Roman" w:cs="Times New Roman"/>
          <w:sz w:val="28"/>
          <w:szCs w:val="28"/>
        </w:rPr>
        <w:t>трическое освидетельствование, выберите для этого медорганизацию и оформите необходимый пакет документов.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НАПРАВИТЬ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Направьте на психиатрическое освидетельствование сотрудников, которые выполняют отдельные виды работ (ч. 8 ст. 220 Трудового кодекса </w:t>
      </w:r>
      <w:r>
        <w:rPr>
          <w:rFonts w:ascii="Times New Roman" w:hAnsi="Times New Roman" w:cs="Times New Roman"/>
          <w:sz w:val="28"/>
          <w:szCs w:val="28"/>
        </w:rPr>
        <w:t>РФ). Такие работы указали в Приложении № 2 к приказу Минздрава от 20.05.2022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работника на психосвидетельствование в 17 случаях, если: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управляет транспортным средством и управляет движением транспортных средств;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присматривает и ухажива</w:t>
      </w:r>
      <w:r>
        <w:rPr>
          <w:rFonts w:ascii="Times New Roman" w:hAnsi="Times New Roman" w:cs="Times New Roman"/>
          <w:sz w:val="28"/>
          <w:szCs w:val="28"/>
        </w:rPr>
        <w:t>ет за детьми;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производит, транспортирует, организует хранение и применяет в работе взрывчатые материалы и вещества;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использует сведения, составляющие государственную тайну;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использует в работе атомную энергию;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организует, монтирует, налаживает, про</w:t>
      </w:r>
      <w:r>
        <w:rPr>
          <w:rFonts w:ascii="Times New Roman" w:hAnsi="Times New Roman" w:cs="Times New Roman"/>
          <w:sz w:val="28"/>
          <w:szCs w:val="28"/>
        </w:rPr>
        <w:t>водит техническое обслуживание, ремонтирует, управляет режимом работы электроустановок;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участвует в обороте оружия;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организует, монтирует, налаживает, проводит техническое обслуживание, ремонтирует, управляет режимом работы объектов теплоснабжения;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>
        <w:rPr>
          <w:rFonts w:ascii="Times New Roman" w:hAnsi="Times New Roman" w:cs="Times New Roman"/>
          <w:sz w:val="28"/>
          <w:szCs w:val="28"/>
        </w:rPr>
        <w:t>роводит аварийно-спасательные работы, тушит пожары в составе пожарной охраны;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обслуживает оборудование, которое работает под избыточным давлением более 0,07 МПа;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забор, очистку и распределение воды питьевых нужд систем централизованного водо</w:t>
      </w:r>
      <w:r>
        <w:rPr>
          <w:rFonts w:ascii="Times New Roman" w:hAnsi="Times New Roman" w:cs="Times New Roman"/>
          <w:sz w:val="28"/>
          <w:szCs w:val="28"/>
        </w:rPr>
        <w:t>снабжения;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 автоматизированный контроль процессов в химической и нефтехимической промышленности;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управляет подъемными механизмами, в том числе кранами;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добывает уголь подземным способом;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контактирует с возбудителями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эксплуатирует, ремонтирует скважины и установки;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занимается педагогической деятельностью в организациях, осуществляющих образовательную деятельность.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Часто задаваемые вопросы:</w:t>
      </w:r>
    </w:p>
    <w:p w:rsidR="00031F09" w:rsidRDefault="00AE7C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Нужно ли работодателю получать согласие работника на </w:t>
      </w:r>
      <w:r>
        <w:rPr>
          <w:rFonts w:ascii="Times New Roman" w:hAnsi="Times New Roman" w:cs="Times New Roman"/>
          <w:sz w:val="28"/>
          <w:szCs w:val="28"/>
        </w:rPr>
        <w:t>психосвидетельствование?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нужно. Согласие у работника получит медучреждение.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выдает сотруднику направление на психосвидетельствование (п. 4 Порядка № 342н). Когда работник обратится в медучреждение, чтобы пройти освидетельствование, у н</w:t>
      </w:r>
      <w:r>
        <w:rPr>
          <w:rFonts w:ascii="Times New Roman" w:hAnsi="Times New Roman" w:cs="Times New Roman"/>
          <w:sz w:val="28"/>
          <w:szCs w:val="28"/>
        </w:rPr>
        <w:t>его возьмут информированное добровольное согласие на психосвидетельствование. Это указано в пункте 1 статьи 4 Закона от 22.07.1992 № 3185-1 «О психиатрической помощи и гарантиях прав граждан» (далее – Закон от 22.07.1992 № 3185-1).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Нужно ли психосвидете</w:t>
      </w:r>
      <w:r>
        <w:rPr>
          <w:rFonts w:ascii="Times New Roman" w:hAnsi="Times New Roman" w:cs="Times New Roman"/>
          <w:sz w:val="28"/>
          <w:szCs w:val="28"/>
        </w:rPr>
        <w:t>льствование работника, если на медосмотре психиатр и нарколог не нашли противопоказания?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 проходят работники, которые осуществляют отдельные виды деятельности (ч. 8 ст. 220 ТК). Такие виды деятельн</w:t>
      </w:r>
      <w:r>
        <w:rPr>
          <w:rFonts w:ascii="Times New Roman" w:hAnsi="Times New Roman" w:cs="Times New Roman"/>
          <w:sz w:val="28"/>
          <w:szCs w:val="28"/>
        </w:rPr>
        <w:t>ости указали в Приложении № 2 к приказу Минздрава от 20.05.2022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работников на психиатрическое освидетельствование во всех необходимых случаях, а не только при выявлении противопоказаний врачом-психиатром или наркологом. В ином случае есть</w:t>
      </w:r>
      <w:r>
        <w:rPr>
          <w:rFonts w:ascii="Times New Roman" w:hAnsi="Times New Roman" w:cs="Times New Roman"/>
          <w:sz w:val="28"/>
          <w:szCs w:val="28"/>
        </w:rPr>
        <w:t xml:space="preserve"> риск штрафа со стороны инспекции труда и оспорить штраф не получится.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Нужно ли направить на психиатрическое обследование офисного работника, который работает с компьютером?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Нужно, если офисный работник выполняет работы, при осуществлении которых </w:t>
      </w:r>
      <w:r>
        <w:rPr>
          <w:rFonts w:ascii="Times New Roman" w:hAnsi="Times New Roman" w:cs="Times New Roman"/>
          <w:sz w:val="28"/>
          <w:szCs w:val="28"/>
        </w:rPr>
        <w:t>проводится психиатрическое освидетельствование.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 не указана в списке работ, при которых проводят психиатрическое освидетельствование. Однако, если работник использует сведения, составляющие государственную тайну или занят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деятельностью, то такого офисного работника нужно направить на психиатрическое освидетельствование (п. 8, п. 10 Приложения 2, утв. приказом Минздрава от 20.05.2022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Направляйте работников на психиатрическое освидетельствование, если они выполняют </w:t>
      </w:r>
      <w:r>
        <w:rPr>
          <w:rFonts w:ascii="Times New Roman" w:hAnsi="Times New Roman" w:cs="Times New Roman"/>
          <w:sz w:val="28"/>
          <w:szCs w:val="28"/>
        </w:rPr>
        <w:t>работы, при осуществлении которых проводится психиатрическое освидетельствование. Такие виды деятельности указали в Приложении № 2 к приказу Минздрава от 20.05.2022 № 342н.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Необходимо ли проводить психосвидетельствование, если на рабочих местах по ре</w:t>
      </w:r>
      <w:r>
        <w:rPr>
          <w:rFonts w:ascii="Times New Roman" w:hAnsi="Times New Roman" w:cs="Times New Roman"/>
          <w:sz w:val="28"/>
          <w:szCs w:val="28"/>
        </w:rPr>
        <w:t>зультатам СОУТ оптимальные и допустимые условия труда?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необходимо, если работники выполняют работы, при осуществлении которых проводится психиатрическое освидетельствование. Такие виды деятельности указали в Приложении № 2 к приказу Минздрава от 20.05.</w:t>
      </w:r>
      <w:r>
        <w:rPr>
          <w:rFonts w:ascii="Times New Roman" w:hAnsi="Times New Roman" w:cs="Times New Roman"/>
          <w:sz w:val="28"/>
          <w:szCs w:val="28"/>
        </w:rPr>
        <w:t>2022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не имеет значения, какой класс условий труда установили по результатам спецоценки, – работники должны пройти обязательное психиатрическое освидетельствование.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Нужно ли направлять на психосвидетельствование при допуске к гостай</w:t>
      </w:r>
      <w:r>
        <w:rPr>
          <w:rFonts w:ascii="Times New Roman" w:hAnsi="Times New Roman" w:cs="Times New Roman"/>
          <w:sz w:val="28"/>
          <w:szCs w:val="28"/>
        </w:rPr>
        <w:t>не?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на обязательное психиатрическое освидетельствование работника при допуске к гостайне в соответствии с пунктом 10 Приложения № 2 к приказу Минздрава от 20.05.2022 № 342н, пунктом 28 постановления Правительства от 06.02.2010 № 63 и п</w:t>
      </w:r>
      <w:r>
        <w:rPr>
          <w:rFonts w:ascii="Times New Roman" w:hAnsi="Times New Roman" w:cs="Times New Roman"/>
          <w:sz w:val="28"/>
          <w:szCs w:val="28"/>
        </w:rPr>
        <w:t>унктом 4 приложения 2 приказа Минздравсоцразвития от 26.08.2011 № 989н.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На основании какого нормативно-правового акта направлять на психиатрическое 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Правила, как проходить обязательное психиатрическое освидетельствование работникам, </w:t>
      </w:r>
      <w:r>
        <w:rPr>
          <w:rFonts w:ascii="Times New Roman" w:hAnsi="Times New Roman" w:cs="Times New Roman"/>
          <w:sz w:val="28"/>
          <w:szCs w:val="28"/>
        </w:rPr>
        <w:t>указаны в приказе Минздрава от 20.05.2022 № 342н. Виды деятельности, при осуществлении которых проводится психиатрическое освидетельствование, указаны в Приложении 2 к приказу Минздрава от 20.05.2022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Нужно ли направлять водителя на психосвидетел</w:t>
      </w:r>
      <w:r>
        <w:rPr>
          <w:rFonts w:ascii="Times New Roman" w:hAnsi="Times New Roman" w:cs="Times New Roman"/>
          <w:sz w:val="28"/>
          <w:szCs w:val="28"/>
        </w:rPr>
        <w:t>ьствование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связанная с управлением транспортными средствами, включена в виды деятельности, при осуществлении которых проводится психиатрическое освидетельствование (п. 1 Приложения 2 к приказу Минздрава от 20.05.2022 № 342н).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НАПРАВИТЬ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на психиатрическое освидетельствование нового работника, у которого есть для этого основание. Сделать это необходимо до приема на работу.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работника перевели на работу, где есть основания для психиатрического освидетельствования, с</w:t>
      </w:r>
      <w:r>
        <w:rPr>
          <w:rFonts w:ascii="Times New Roman" w:hAnsi="Times New Roman" w:cs="Times New Roman"/>
          <w:sz w:val="28"/>
          <w:szCs w:val="28"/>
        </w:rPr>
        <w:t xml:space="preserve"> работы, где таких оснований не было, направьте работника на освидетельствование в общем порядке.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работника на внеочередное психиатрическое освидетельствование, если в рамках периодического медосмотра у работника выявят признаки психических и пов</w:t>
      </w:r>
      <w:r>
        <w:rPr>
          <w:rFonts w:ascii="Times New Roman" w:hAnsi="Times New Roman" w:cs="Times New Roman"/>
          <w:sz w:val="28"/>
          <w:szCs w:val="28"/>
        </w:rPr>
        <w:t>еденческих расстройств.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Повторно проходить освидетельствование не нужно, если соблюдаются два условия одновременно: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 будет выполнять вид работ, по которым ранее проходил освидетельствование. Заключение будет действительным два года, если работ</w:t>
      </w:r>
      <w:r>
        <w:rPr>
          <w:rFonts w:ascii="Times New Roman" w:hAnsi="Times New Roman" w:cs="Times New Roman"/>
          <w:sz w:val="28"/>
          <w:szCs w:val="28"/>
        </w:rPr>
        <w:t>ник сменит место работы.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 состоянию психического здоровья работник был пригоден к выполнению указанного вида деятельности по результатам прошлого освидетельствования.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указано в пункте 5 Порядка № 342н.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Обратите внимание: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</w:t>
      </w:r>
      <w:r>
        <w:rPr>
          <w:rFonts w:ascii="Times New Roman" w:hAnsi="Times New Roman" w:cs="Times New Roman"/>
          <w:sz w:val="28"/>
          <w:szCs w:val="28"/>
        </w:rPr>
        <w:t>ьствование проводят до предварительного и периодического медосмотра.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проходит психиатрическое освидетельствование и получает решение врачебной комиссии. После он предоставляет решение в медорганизацию, которая будет проводить предварительный медос</w:t>
      </w:r>
      <w:r>
        <w:rPr>
          <w:rFonts w:ascii="Times New Roman" w:hAnsi="Times New Roman" w:cs="Times New Roman"/>
          <w:sz w:val="28"/>
          <w:szCs w:val="28"/>
        </w:rPr>
        <w:t>мотр (п. 11 приказа Минздрава от 28.01.2021 № 29н).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работника может проводится с учетом заключений, выданных по результатам обязательных предварительных и периодических медосмотров (п. 4 Порядка № 342н).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Часто задаваемые вопросы: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Ну</w:t>
      </w:r>
      <w:r>
        <w:rPr>
          <w:rFonts w:ascii="Times New Roman" w:hAnsi="Times New Roman" w:cs="Times New Roman"/>
          <w:sz w:val="28"/>
          <w:szCs w:val="28"/>
        </w:rPr>
        <w:t>жно ли при переводе на другую работу заново направлять работника на психиатрическое обследование?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нужно, если работника перевели на работу по виду деятельности, по которому ранее он не проходил освидетельствование. Это следует из пункта 5 Порядка № 342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переводе вид деятельности не изменился, то заново направлять на психиатрическое обследование работника не надо. Если вид деятельности меняется – направьте работника на психиатрическое освидетельствование в общем порядке.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работника перевели</w:t>
      </w:r>
      <w:r>
        <w:rPr>
          <w:rFonts w:ascii="Times New Roman" w:hAnsi="Times New Roman" w:cs="Times New Roman"/>
          <w:sz w:val="28"/>
          <w:szCs w:val="28"/>
        </w:rPr>
        <w:t xml:space="preserve"> на работу, где есть основания для психиатрического освидетельствования, с работы, где таких оснований не было, направьте работника на освидетельствование в общем порядке.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работника переводят с места работы, где ему нужно было проходить психосвидетель</w:t>
      </w:r>
      <w:r>
        <w:rPr>
          <w:rFonts w:ascii="Times New Roman" w:hAnsi="Times New Roman" w:cs="Times New Roman"/>
          <w:sz w:val="28"/>
          <w:szCs w:val="28"/>
        </w:rPr>
        <w:t>ствование, на новое место работы, где нет оснований для психосвидетельствования, то направлять на освидетельствование такого работника больше не надо.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какой периодичностью проводить психосвидетельствование?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проходить освидетельствование не </w:t>
      </w:r>
      <w:r>
        <w:rPr>
          <w:rFonts w:ascii="Times New Roman" w:hAnsi="Times New Roman" w:cs="Times New Roman"/>
          <w:sz w:val="28"/>
          <w:szCs w:val="28"/>
        </w:rPr>
        <w:t>нужно если соблюдаются два условия: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будет выполнять вид работ, по которым ранее проходил освидетельствование. Заключение будет действительным два года, если работник сменит место работы.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состоянию психического здоровья работник был пригоден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указанного вида деятельности.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ранее проведенного освидетельствования подтверждается медицинскими документами. Это следует из пункта 5 Порядка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нужно организовать внеплановое психосвидетельствование?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</w:t>
      </w:r>
      <w:r>
        <w:rPr>
          <w:rFonts w:ascii="Times New Roman" w:hAnsi="Times New Roman" w:cs="Times New Roman"/>
          <w:sz w:val="28"/>
          <w:szCs w:val="28"/>
        </w:rPr>
        <w:t>внеплановое психосвидетельствование, если работник совершает действия, которые дают основания предполагать наличие у него тяжелого психического расстройства, которое представляет: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непосредственную опасность для себя или окружающих;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его беспомощност</w:t>
      </w:r>
      <w:r>
        <w:rPr>
          <w:rFonts w:ascii="Times New Roman" w:hAnsi="Times New Roman" w:cs="Times New Roman"/>
          <w:sz w:val="28"/>
          <w:szCs w:val="28"/>
        </w:rPr>
        <w:t>ь, неспособность самостоятельно удовлетворять основные жизненные потребности;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основания указаны в пункте 4 статьи 23 Зак</w:t>
      </w:r>
      <w:r>
        <w:rPr>
          <w:rFonts w:ascii="Times New Roman" w:hAnsi="Times New Roman" w:cs="Times New Roman"/>
          <w:sz w:val="28"/>
          <w:szCs w:val="28"/>
        </w:rPr>
        <w:t>она от 02.07.1992 № 3185-1.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представляет опасность для себя или окружающих, то прямо на рабочее место можно вызвать психиатрическую помощь, сотрудники которой будут принимать решение о госпитализации и освидетельствовании сотрудника (п. 3 ст.</w:t>
      </w:r>
      <w:r>
        <w:rPr>
          <w:rFonts w:ascii="Times New Roman" w:hAnsi="Times New Roman" w:cs="Times New Roman"/>
          <w:sz w:val="28"/>
          <w:szCs w:val="28"/>
        </w:rPr>
        <w:t xml:space="preserve"> 25 Закона от 02.07.1992 № 3185-1).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 отправить сотрудника на освидетельствование до окончания срока можно только с его согласия (ст. 4 Закона от 02.07.1992 № 3185-1).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у работника уже есть справка от психиатра, нужно ли напр</w:t>
      </w:r>
      <w:r>
        <w:rPr>
          <w:rFonts w:ascii="Times New Roman" w:hAnsi="Times New Roman" w:cs="Times New Roman"/>
          <w:sz w:val="28"/>
          <w:szCs w:val="28"/>
        </w:rPr>
        <w:t>авлять его на психиатрическое 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психиатра не заменяет прохождение обязательного психиатрического освидетельствования. Психиатрическое освидетельствование при приеме на работу может проводиться только по выданному ра</w:t>
      </w:r>
      <w:r>
        <w:rPr>
          <w:rFonts w:ascii="Times New Roman" w:hAnsi="Times New Roman" w:cs="Times New Roman"/>
          <w:sz w:val="28"/>
          <w:szCs w:val="28"/>
        </w:rPr>
        <w:t xml:space="preserve">ботодателем направлению (п. 4 Порядка № 342н). Необходимо оценить не общее психическое здоровье кандидата, а установить, может ли он заниматься конкретной деятельностью. Поэтому справка от врача-психиатра, например, для управления транспортного средства в </w:t>
      </w:r>
      <w:r>
        <w:rPr>
          <w:rFonts w:ascii="Times New Roman" w:hAnsi="Times New Roman" w:cs="Times New Roman"/>
          <w:sz w:val="28"/>
          <w:szCs w:val="28"/>
        </w:rPr>
        <w:t>личных целях, не подойдет.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после психосвидетельствования получит заключение о пригодности к работе, при осуществлении которой проводится психиатрическое освидетельствование.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чей счет проходит 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психиатрическое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освидетельствование для работников проводится за счет работодателя (ч. 9 ст. 220 Трудового кодекса РФ). Нельзя переложить расходы по психиатрическому освидетельствованию на работника.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 проводят за счет работодателя, даже</w:t>
      </w:r>
      <w:r>
        <w:rPr>
          <w:rFonts w:ascii="Times New Roman" w:hAnsi="Times New Roman" w:cs="Times New Roman"/>
          <w:sz w:val="28"/>
          <w:szCs w:val="28"/>
        </w:rPr>
        <w:t xml:space="preserve"> если работник признан негодным и с ним не стали заключать трудовой договор.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ВЫБРАТЬ МЕДОРГАНИЗАЦИЮ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09" w:rsidRDefault="00AE7C4E" w:rsidP="0096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психиатрических освидетельствований работодатель заключает договор с медицинским учреждением, где есть врачебная психиатрическая комис</w:t>
      </w:r>
      <w:r>
        <w:rPr>
          <w:rFonts w:ascii="Times New Roman" w:hAnsi="Times New Roman" w:cs="Times New Roman"/>
          <w:sz w:val="28"/>
          <w:szCs w:val="28"/>
        </w:rPr>
        <w:t>сия по проведению обязательного психиатрического освидетельствования работников</w:t>
      </w:r>
      <w:r w:rsidR="0096357A">
        <w:rPr>
          <w:rFonts w:ascii="Times New Roman" w:hAnsi="Times New Roman" w:cs="Times New Roman"/>
          <w:sz w:val="28"/>
          <w:szCs w:val="28"/>
        </w:rPr>
        <w:t xml:space="preserve">, </w:t>
      </w:r>
      <w:r w:rsidR="0096357A">
        <w:rPr>
          <w:rFonts w:ascii="Times New Roman" w:hAnsi="Times New Roman" w:cs="Times New Roman"/>
          <w:sz w:val="28"/>
          <w:szCs w:val="28"/>
        </w:rPr>
        <w:t>уполномоч</w:t>
      </w:r>
      <w:r w:rsidR="0096357A">
        <w:rPr>
          <w:rFonts w:ascii="Times New Roman" w:hAnsi="Times New Roman" w:cs="Times New Roman"/>
          <w:sz w:val="28"/>
          <w:szCs w:val="28"/>
        </w:rPr>
        <w:t>енная</w:t>
      </w:r>
      <w:r w:rsidR="0096357A">
        <w:rPr>
          <w:rFonts w:ascii="Times New Roman" w:hAnsi="Times New Roman" w:cs="Times New Roman"/>
          <w:sz w:val="28"/>
          <w:szCs w:val="28"/>
        </w:rPr>
        <w:t xml:space="preserve"> </w:t>
      </w:r>
      <w:r w:rsidR="0096357A">
        <w:rPr>
          <w:rFonts w:ascii="Times New Roman" w:hAnsi="Times New Roman" w:cs="Times New Roman"/>
          <w:sz w:val="28"/>
          <w:szCs w:val="28"/>
        </w:rPr>
        <w:t xml:space="preserve">на проведение обязательного психиатрического освидетельствования </w:t>
      </w:r>
      <w:r w:rsidR="0096357A">
        <w:rPr>
          <w:rFonts w:ascii="Times New Roman" w:hAnsi="Times New Roman" w:cs="Times New Roman"/>
          <w:sz w:val="28"/>
          <w:szCs w:val="28"/>
        </w:rPr>
        <w:t>региональны</w:t>
      </w:r>
      <w:r w:rsidR="0096357A">
        <w:rPr>
          <w:rFonts w:ascii="Times New Roman" w:hAnsi="Times New Roman" w:cs="Times New Roman"/>
          <w:sz w:val="28"/>
          <w:szCs w:val="28"/>
        </w:rPr>
        <w:t>м</w:t>
      </w:r>
      <w:r w:rsidR="00963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6357A">
        <w:rPr>
          <w:rFonts w:ascii="Times New Roman" w:hAnsi="Times New Roman" w:cs="Times New Roman"/>
          <w:sz w:val="28"/>
          <w:szCs w:val="28"/>
        </w:rPr>
        <w:t>ом</w:t>
      </w:r>
      <w:r w:rsidR="0096357A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здравоохранения (ст. 6 Закона от 02.07.1992 № 3185-1</w:t>
      </w:r>
      <w:r w:rsidR="0096357A">
        <w:rPr>
          <w:rFonts w:ascii="Times New Roman" w:hAnsi="Times New Roman" w:cs="Times New Roman"/>
          <w:sz w:val="28"/>
          <w:szCs w:val="28"/>
        </w:rPr>
        <w:t>)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НАПРАВИТЬ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пошаговым алгоритмом, чтобы направит</w:t>
      </w:r>
      <w:r>
        <w:rPr>
          <w:rFonts w:ascii="Times New Roman" w:hAnsi="Times New Roman" w:cs="Times New Roman"/>
          <w:sz w:val="28"/>
          <w:szCs w:val="28"/>
        </w:rPr>
        <w:t>ь работников на психиатрическое освидетельствование: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Выберите медорганизацию для психосвидетельствования.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психиатрическое освидетельствование можно только в лицензированных медицинских организациях. В лицензии на осуществление медицинской </w:t>
      </w:r>
      <w:r>
        <w:rPr>
          <w:rFonts w:ascii="Times New Roman" w:hAnsi="Times New Roman" w:cs="Times New Roman"/>
          <w:sz w:val="28"/>
          <w:szCs w:val="28"/>
        </w:rPr>
        <w:t>деятельности должны быть указаны работы по психиатрическому освидетельствованию (п. 3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 договор с медицинским учреждением, где есть врачебная психиатрическая комиссия по проведению обязательного психиатрического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Издайте приказ о направлении работника на прохождение психосвидетельствования.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список контингентов и поименный список для психиатрических освидетельствований не надо. Издайте приказ для организации психиатрического освидетель</w:t>
      </w:r>
      <w:r>
        <w:rPr>
          <w:rFonts w:ascii="Times New Roman" w:hAnsi="Times New Roman" w:cs="Times New Roman"/>
          <w:sz w:val="28"/>
          <w:szCs w:val="28"/>
        </w:rPr>
        <w:t>ствования. В приказе укажите работников, которых нужно направить на психосвидетельствование.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приказа в приложении № 1. 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Выдайте направление на психосвидетельствование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Выдайте каждому работнику индивидуальное направление на психиатрическое ос</w:t>
      </w:r>
      <w:r>
        <w:rPr>
          <w:rFonts w:ascii="Times New Roman" w:hAnsi="Times New Roman" w:cs="Times New Roman"/>
          <w:sz w:val="28"/>
          <w:szCs w:val="28"/>
        </w:rPr>
        <w:t>видетельствование. В направлении укажите сведения о работодателе и данные о работнике, в том числе перечень работ, которые выполняет работник. Формировать направление можно в электронном виде, с использованием электронных подписей.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направления на о</w:t>
      </w:r>
      <w:r>
        <w:rPr>
          <w:rFonts w:ascii="Times New Roman" w:hAnsi="Times New Roman" w:cs="Times New Roman"/>
          <w:sz w:val="28"/>
          <w:szCs w:val="28"/>
        </w:rPr>
        <w:t>бязательное психиатрическое освидетельствование в приложении № 2.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должен организовать учет выданных направлений, в том числе в форме электронного документа. Это следует из пункта 6 Порядка                № 342н. Для этого занесите запись о выд</w:t>
      </w:r>
      <w:r>
        <w:rPr>
          <w:rFonts w:ascii="Times New Roman" w:hAnsi="Times New Roman" w:cs="Times New Roman"/>
          <w:sz w:val="28"/>
          <w:szCs w:val="28"/>
        </w:rPr>
        <w:t>анном направлении в журнал учета направлений.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журнала учета выдачи направлений на психиатрическое освидетельствование в приложении № 3.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Направьте работника на психосвидетельствование.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Направьте работника на психиатрическое освидетельствовани</w:t>
      </w:r>
      <w:r>
        <w:rPr>
          <w:rFonts w:ascii="Times New Roman" w:hAnsi="Times New Roman" w:cs="Times New Roman"/>
          <w:sz w:val="28"/>
          <w:szCs w:val="28"/>
        </w:rPr>
        <w:t>е в медицинскую организацию, с которой заключили договор.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работник должен предоставить в медицинскую организацию для прохождения психосвидетельствования: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учета (СНИЛС или АДИ-РЕГ);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заключения, выданные по результатам предварительных и периодических медицинских осмотров;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указано в пункте 7 Приказа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Разместите памятку о необход</w:t>
      </w:r>
      <w:r>
        <w:rPr>
          <w:rFonts w:ascii="Times New Roman" w:hAnsi="Times New Roman" w:cs="Times New Roman"/>
          <w:sz w:val="28"/>
          <w:szCs w:val="28"/>
        </w:rPr>
        <w:t>имых документах для прохождения психосвидетельствования на информационном стенде или выдайте каждому работнику.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5. Получите медицинское заключение о прохождении психосвидетельствования. 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 направит заключение работодателю только п</w:t>
      </w:r>
      <w:r>
        <w:rPr>
          <w:rFonts w:ascii="Times New Roman" w:hAnsi="Times New Roman" w:cs="Times New Roman"/>
          <w:sz w:val="28"/>
          <w:szCs w:val="28"/>
        </w:rPr>
        <w:t>о согласию работника. Это следует из пункта 13 Порядка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можно получить в электронной форме. При этом у членов врачебной комиссии должны быть усиленные квалифицированные электронные подписи.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заключение по защищенной сети. Это иск</w:t>
      </w:r>
      <w:r>
        <w:rPr>
          <w:rFonts w:ascii="Times New Roman" w:hAnsi="Times New Roman" w:cs="Times New Roman"/>
          <w:sz w:val="28"/>
          <w:szCs w:val="28"/>
        </w:rPr>
        <w:t>лючает возможность несанкционированного доступа к информации и обеспечивает соблюдение требований о защите персональных данных и врачебной тайны (пп. 2 п. 13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Часто задаваемые вопросы: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Можно ли не выдавать индивидуальные направления на п</w:t>
      </w:r>
      <w:r>
        <w:rPr>
          <w:rFonts w:ascii="Times New Roman" w:hAnsi="Times New Roman" w:cs="Times New Roman"/>
          <w:sz w:val="28"/>
          <w:szCs w:val="28"/>
        </w:rPr>
        <w:t>сихосвидетельствования, а выдать общий список работников?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психиатрического освидетельствования работник представляет выданное работодателем направление, в котором указан вид деятельности, осуществляемый работником в соответстви</w:t>
      </w:r>
      <w:r>
        <w:rPr>
          <w:rFonts w:ascii="Times New Roman" w:hAnsi="Times New Roman" w:cs="Times New Roman"/>
          <w:sz w:val="28"/>
          <w:szCs w:val="28"/>
        </w:rPr>
        <w:t>и с приложением              № 2 утвержденным приказом Минздрава от 20.05.2022 № 342н.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выдать работнику вместо индивидуального направления общий список, он получит доступ к персональным данным других работников. То есть работодатель разгласит персонал</w:t>
      </w:r>
      <w:r>
        <w:rPr>
          <w:rFonts w:ascii="Times New Roman" w:hAnsi="Times New Roman" w:cs="Times New Roman"/>
          <w:sz w:val="28"/>
          <w:szCs w:val="28"/>
        </w:rPr>
        <w:t>ьную информацию других работников без их согласия, что грозит штрафом до 50 000 руб. (ст. 13.11 КоАП, ст. 90 Трудового кодекса РФ, ч. 1 ст. 24 Закона от 27.07.2006 № 152-ФЗ).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чтобы направить работников на психиатрическое освидетельствование, выдай</w:t>
      </w:r>
      <w:r>
        <w:rPr>
          <w:rFonts w:ascii="Times New Roman" w:hAnsi="Times New Roman" w:cs="Times New Roman"/>
          <w:sz w:val="28"/>
          <w:szCs w:val="28"/>
        </w:rPr>
        <w:t>те каждому из них индивидуальное направление.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Что делать, если работник отказался от обязательного психиатрического освидетельствования?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работник откажется пройти обязательное для него психиатрическое освидетельствование, отстраните его от работы б</w:t>
      </w:r>
      <w:r>
        <w:rPr>
          <w:rFonts w:ascii="Times New Roman" w:hAnsi="Times New Roman" w:cs="Times New Roman"/>
          <w:sz w:val="28"/>
          <w:szCs w:val="28"/>
        </w:rPr>
        <w:t>ез сохранения заработной платы (ст. 76 Трудового кодекса РФ).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психиатрическое освидетельствование – это обязанность работника (ст. 21, ст. 215 Трудового кодекса РФ), поэтому за отказ его можно привлечь к дисциплинарной ответственности.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 </w:t>
      </w:r>
      <w:r>
        <w:rPr>
          <w:rFonts w:ascii="Times New Roman" w:hAnsi="Times New Roman" w:cs="Times New Roman"/>
          <w:sz w:val="28"/>
          <w:szCs w:val="28"/>
        </w:rPr>
        <w:t>работника о необходимости пройти психиатрическое освидетельствование. Если работник продолжает отказываться и у него уже есть дисциплинарное наказание за подобный отказ, увольте работника по пункту 5 части 1 статьи 81 Трудового кодекса РФ.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увол</w:t>
      </w:r>
      <w:r>
        <w:rPr>
          <w:rFonts w:ascii="Times New Roman" w:hAnsi="Times New Roman" w:cs="Times New Roman"/>
          <w:sz w:val="28"/>
          <w:szCs w:val="28"/>
        </w:rPr>
        <w:t>ить работника за отказ от психиатрического освидетельствования подтверждает судебная практика (подп. «в» п. 35 постановления Пленума Верховного суда от 17.03.2004 № 2, определение Красноярского краевого суда от 30.01.2017 № 33-1039/2017).</w:t>
      </w: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ПСИХИ</w:t>
      </w:r>
      <w:r>
        <w:rPr>
          <w:rFonts w:ascii="Times New Roman" w:hAnsi="Times New Roman" w:cs="Times New Roman"/>
          <w:sz w:val="28"/>
          <w:szCs w:val="28"/>
        </w:rPr>
        <w:t>АТРИЧЕСКОГО ОСВИДЕТЕЛЬСТВОВАНИЯ</w:t>
      </w:r>
    </w:p>
    <w:p w:rsidR="00031F09" w:rsidRDefault="000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 проводят в течение 20 дней с даты обращения работника в медицинскую организацию. (п. 8 Порядка                    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проходит в три этапа.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>
        <w:rPr>
          <w:rFonts w:ascii="Times New Roman" w:hAnsi="Times New Roman" w:cs="Times New Roman"/>
          <w:sz w:val="28"/>
          <w:szCs w:val="28"/>
        </w:rPr>
        <w:t>врача-психиатра;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жалоб и анамнеза в психиатрии;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психопатологическое обследование.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Электроэнцефалограмму и другие виды психопатологических обследований могут назначить по решению комиссии, чтобы оценить психическое здоровье работника (п. 9 Порядка </w:t>
      </w:r>
      <w:r>
        <w:rPr>
          <w:rFonts w:ascii="Times New Roman" w:hAnsi="Times New Roman" w:cs="Times New Roman"/>
          <w:sz w:val="28"/>
          <w:szCs w:val="28"/>
        </w:rPr>
        <w:t>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Медкомиссия вправе запрашивать у медицинских учреждений дополнительные сведения для проведения психосвидетельствования. Комиссия может получить необходимую информацию без информирования работника (пп. 2 п. 8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выдача зак</w:t>
      </w:r>
      <w:r>
        <w:rPr>
          <w:rFonts w:ascii="Times New Roman" w:hAnsi="Times New Roman" w:cs="Times New Roman"/>
          <w:sz w:val="28"/>
          <w:szCs w:val="28"/>
        </w:rPr>
        <w:t>лючения в электронной форме с использованием электронных подписей всех членов врачебной комиссии (пп. 2 п. 13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могут признать непригодным к выполнению отдельных видов деятельности, если по результатам психосвидетельствования будут</w:t>
      </w:r>
      <w:r>
        <w:rPr>
          <w:rFonts w:ascii="Times New Roman" w:hAnsi="Times New Roman" w:cs="Times New Roman"/>
          <w:sz w:val="28"/>
          <w:szCs w:val="28"/>
        </w:rPr>
        <w:t xml:space="preserve"> выявлены противопоказания. Работника отстранят от таких работ на срок не более пяти лет. По окончании срока работник вправе пройти психосвидетельствование повторно (пп. 2 п. 4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не согласен с решением комиссии, он может обжало</w:t>
      </w:r>
      <w:r>
        <w:rPr>
          <w:rFonts w:ascii="Times New Roman" w:hAnsi="Times New Roman" w:cs="Times New Roman"/>
          <w:sz w:val="28"/>
          <w:szCs w:val="28"/>
        </w:rPr>
        <w:t>вать его в суде (ч. 1 ст. 47 Закона психиатрической помощи № 3185-1).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Часто задаваемые вопросы: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работник проходит сначала: предварительный медосмотр или психиатрическое освидетельствование?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работник проходит психиатрическое освидетельствован</w:t>
      </w:r>
      <w:r>
        <w:rPr>
          <w:rFonts w:ascii="Times New Roman" w:hAnsi="Times New Roman" w:cs="Times New Roman"/>
          <w:sz w:val="28"/>
          <w:szCs w:val="28"/>
        </w:rPr>
        <w:t>ие и получает решение врачебной комиссии. После он предоставляет решение в медорганизацию, которая будет проводить предварительный медосмотр (п. 11 приказа Минздрава от 28.01.2021 № 29н).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Нужно ли делать электроэнцефалограмму для психиатрического освиде</w:t>
      </w:r>
      <w:r>
        <w:rPr>
          <w:rFonts w:ascii="Times New Roman" w:hAnsi="Times New Roman" w:cs="Times New Roman"/>
          <w:sz w:val="28"/>
          <w:szCs w:val="28"/>
        </w:rPr>
        <w:t>тельствования?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если электроэнцефалограмма назначена по решению врачебной комиссии.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Электроэнцефалограмма не является основным источником информации для врачебной комиссии. Психиатрическое освидетельствование включает в себя три процедуры: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вр</w:t>
      </w:r>
      <w:r>
        <w:rPr>
          <w:rFonts w:ascii="Times New Roman" w:hAnsi="Times New Roman" w:cs="Times New Roman"/>
          <w:sz w:val="28"/>
          <w:szCs w:val="28"/>
        </w:rPr>
        <w:t>ача-психиатра;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жалоб и анамнеза в психиатрии;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психопатологическое обследование.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Электроэнцефалограмму и другие виды психопатологических обследований назначают по решению комиссии, чтобы оценить психическое здоровье работника (п. 9 Порядка № 342н).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ответственность за допуск сотрудника к работе без психиатрического освидетельствования?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сотрудника, который не прошел обязательное для него психиатрическое освидетельствование, грозит штрафом: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– в размере от 15 000 до </w:t>
      </w:r>
      <w:r>
        <w:rPr>
          <w:rFonts w:ascii="Times New Roman" w:hAnsi="Times New Roman" w:cs="Times New Roman"/>
          <w:sz w:val="28"/>
          <w:szCs w:val="28"/>
        </w:rPr>
        <w:t>25 000 руб.;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осуществляющих предпринимательскую деятельность без образования юридического лица, – от 15 000 до 25 000 руб.;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лиц – от 110 000 до 130 000 руб.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указано в части 3 статьи 5.27.1 КоАП.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Нужно ли провести внеплановые обу</w:t>
      </w:r>
      <w:r>
        <w:rPr>
          <w:rFonts w:ascii="Times New Roman" w:hAnsi="Times New Roman" w:cs="Times New Roman"/>
          <w:sz w:val="28"/>
          <w:szCs w:val="28"/>
        </w:rPr>
        <w:t>чение и инструктаж по охране труда из-за вступления в силу нового порядка прохождения обязательного психосвидетельствования № 342н?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проведите внеплановый инструктаж в связи с вступлением в силу 1 сентября Порядка прохождения обязательного психосвидетел</w:t>
      </w:r>
      <w:r>
        <w:rPr>
          <w:rFonts w:ascii="Times New Roman" w:hAnsi="Times New Roman" w:cs="Times New Roman"/>
          <w:sz w:val="28"/>
          <w:szCs w:val="28"/>
        </w:rPr>
        <w:t>ьствования, утвержденного приказом Минздрава от 20.05.2022 № 342н. Внеплановое обучение проводите только по требованию Минтруда. Такого требования пока нет.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внеплановые мероприятия для ответственных лиц за организацию проведения психосвидетельств</w:t>
      </w:r>
      <w:r>
        <w:rPr>
          <w:rFonts w:ascii="Times New Roman" w:hAnsi="Times New Roman" w:cs="Times New Roman"/>
          <w:sz w:val="28"/>
          <w:szCs w:val="28"/>
        </w:rPr>
        <w:t>ования, например, специалиста по охране труда, кадровика, главного бухгалтера. Остальным работникам не требуются внеплановые мероприятия, в их трудовых и должностных обязанностях ничего не меняется.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Внеплановое обучение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вступают в силу новые НПА, </w:t>
      </w:r>
      <w:r>
        <w:rPr>
          <w:rFonts w:ascii="Times New Roman" w:hAnsi="Times New Roman" w:cs="Times New Roman"/>
          <w:sz w:val="28"/>
          <w:szCs w:val="28"/>
        </w:rPr>
        <w:t>внеплановое обучение проводят только по требованию Минтруда (п. 61 Порядка обучения № 2464). Если такое требование будет, то работодатель обязан провести внеплановое обучение в срок, который определит министерство, или с 1 сентября в течение 60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дней. При этом нельзя допускать до работ без внепланового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(ст. 76 Трудового кодекса РФ). В таком случае от внепланового инструктажа можно освободить (п. 17 Порядка обучения № 2464).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инструктаж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обязан провести внеплановый </w:t>
      </w:r>
      <w:r>
        <w:rPr>
          <w:rFonts w:ascii="Times New Roman" w:hAnsi="Times New Roman" w:cs="Times New Roman"/>
          <w:sz w:val="28"/>
          <w:szCs w:val="28"/>
        </w:rPr>
        <w:t>инструктаж по охране труда для работников организации при изменении НПА и ЛНА, содержащих требования охраны труда (п. 16 Порядка обучения № 2464). На внеплановом инструктаже работники узнают, как переорганизовать проведение обязательного психиатрического о</w:t>
      </w:r>
      <w:r>
        <w:rPr>
          <w:rFonts w:ascii="Times New Roman" w:hAnsi="Times New Roman" w:cs="Times New Roman"/>
          <w:sz w:val="28"/>
          <w:szCs w:val="28"/>
        </w:rPr>
        <w:t>свидетельствования, новые формы документов и условия прохождения процедуры.</w:t>
      </w:r>
    </w:p>
    <w:p w:rsidR="00031F09" w:rsidRDefault="00A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Минтруд укажет проводить внеплановое обучение в связи с изменениями, то внеплановый инструктаж не нужен (п. 17 Порядка обучения № 2464).</w:t>
      </w: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57A" w:rsidRDefault="00963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(Образец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</w:tblGrid>
      <w:tr w:rsidR="00031F09">
        <w:trPr>
          <w:trHeight w:val="353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«Ромашка»</w:t>
            </w:r>
          </w:p>
        </w:tc>
      </w:tr>
      <w:tr w:rsidR="00031F0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 w:rsidR="00031F09" w:rsidRDefault="00031F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3600"/>
      </w:tblGrid>
      <w:tr w:rsidR="00031F09">
        <w:trPr>
          <w:trHeight w:val="788"/>
        </w:trPr>
        <w:tc>
          <w:tcPr>
            <w:tcW w:w="87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01.09.2022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</w:t>
            </w:r>
          </w:p>
        </w:tc>
      </w:tr>
    </w:tbl>
    <w:p w:rsidR="00031F09" w:rsidRDefault="00AE7C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6357A">
        <w:rPr>
          <w:rFonts w:ascii="Times New Roman" w:hAnsi="Times New Roman" w:cs="Times New Roman"/>
          <w:color w:val="000000"/>
          <w:sz w:val="24"/>
          <w:szCs w:val="24"/>
        </w:rPr>
        <w:t>Череповец</w:t>
      </w:r>
      <w:bookmarkStart w:id="0" w:name="_GoBack"/>
      <w:bookmarkEnd w:id="0"/>
    </w:p>
    <w:p w:rsidR="00031F09" w:rsidRDefault="00AE7C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031F09" w:rsidRDefault="00AE7C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направлении работников на прохождение психиатрического освидетельствования</w:t>
      </w:r>
    </w:p>
    <w:p w:rsidR="00031F09" w:rsidRDefault="00AE7C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ст. 214, 215, 220 Трудового кодекса РФ и приказа Министерства здравоохранения Российской Федерации от 20.05.2022 № 342 «Об утверждении порядка прохождения обязательного психиатрического освидетельствования работниками, осуществляющ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 </w:t>
      </w:r>
      <w:r>
        <w:rPr>
          <w:rFonts w:ascii="Times New Roman" w:hAnsi="Times New Roman"/>
          <w:sz w:val="24"/>
          <w:szCs w:val="24"/>
        </w:rPr>
        <w:t>п р и к а з ы в а ю:</w:t>
      </w:r>
    </w:p>
    <w:p w:rsidR="00031F09" w:rsidRDefault="00AE7C4E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Направить на обязательное психиатрическое освидетельствование следующих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527"/>
        <w:gridCol w:w="3968"/>
        <w:gridCol w:w="1587"/>
      </w:tblGrid>
      <w:tr w:rsidR="00031F09">
        <w:tc>
          <w:tcPr>
            <w:tcW w:w="540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031F09" w:rsidRDefault="00031F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27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3968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7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 </w:t>
            </w:r>
          </w:p>
        </w:tc>
      </w:tr>
      <w:tr w:rsidR="00031F09">
        <w:trPr>
          <w:trHeight w:val="3013"/>
        </w:trPr>
        <w:tc>
          <w:tcPr>
            <w:tcW w:w="540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031F09" w:rsidRDefault="00AE7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  <w:p w:rsidR="00031F09" w:rsidRDefault="00AE7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Пётр Петрович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7" w:type="dxa"/>
          </w:tcPr>
          <w:p w:rsidR="00031F09" w:rsidRDefault="00AE7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968" w:type="dxa"/>
          </w:tcPr>
          <w:p w:rsidR="00031F09" w:rsidRDefault="00AE7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Деятельность, связанная с управлением транспортными средствами или управлением движением транспортных средств по профессиям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1587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</w:tr>
      <w:tr w:rsidR="00031F09">
        <w:tc>
          <w:tcPr>
            <w:tcW w:w="540" w:type="dxa"/>
          </w:tcPr>
          <w:p w:rsidR="00031F09" w:rsidRDefault="00AE7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031F09" w:rsidRDefault="00AE7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Сидор Сидорович</w:t>
            </w:r>
          </w:p>
        </w:tc>
        <w:tc>
          <w:tcPr>
            <w:tcW w:w="1527" w:type="dxa"/>
          </w:tcPr>
          <w:p w:rsidR="00031F09" w:rsidRDefault="00AE7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Крановщик</w:t>
            </w:r>
          </w:p>
        </w:tc>
        <w:tc>
          <w:tcPr>
            <w:tcW w:w="3968" w:type="dxa"/>
          </w:tcPr>
          <w:p w:rsidR="00031F09" w:rsidRDefault="00AE7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</w:t>
            </w:r>
          </w:p>
        </w:tc>
        <w:tc>
          <w:tcPr>
            <w:tcW w:w="1587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</w:tr>
    </w:tbl>
    <w:p w:rsidR="00031F09" w:rsidRDefault="00031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F09" w:rsidRDefault="00AE7C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Специалисту отдела по управлению персоналом Васильевой А.П. отстранить от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 не прошедших психиатрическое освидетельствование, с рабочего дня, следующего за последним днем прохождения освидетельствования (ст. 214 Трудового кодекса РФ).</w:t>
      </w:r>
    </w:p>
    <w:p w:rsidR="00031F09" w:rsidRDefault="00AE7C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 Главному бухгалтеру Павловой А.Г. за период отстранения от работы (недопущения к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аботе) не начислять заработную плату отстранённым работникам. (ст. 76 Трудового кодекса РФ).</w:t>
      </w:r>
    </w:p>
    <w:p w:rsidR="00031F09" w:rsidRDefault="00AE7C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Секретарю Соловьевой Н.В. ознакомить с приказом указанных работников под роспись.</w:t>
      </w:r>
    </w:p>
    <w:p w:rsidR="00031F09" w:rsidRDefault="00AE7C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приказа оставляю за собой.</w:t>
      </w:r>
    </w:p>
    <w:p w:rsidR="00031F09" w:rsidRDefault="00031F09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239"/>
        <w:gridCol w:w="1770"/>
        <w:gridCol w:w="239"/>
        <w:gridCol w:w="2420"/>
      </w:tblGrid>
      <w:tr w:rsidR="00031F09">
        <w:trPr>
          <w:trHeight w:val="44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«Ромашка»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Шувалов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 И.Г.</w:t>
            </w:r>
          </w:p>
        </w:tc>
      </w:tr>
      <w:tr w:rsidR="00031F09">
        <w:trPr>
          <w:trHeight w:val="433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031F09" w:rsidRDefault="00031F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1F09" w:rsidRDefault="00AE7C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pPr w:leftFromText="180" w:rightFromText="180" w:vertAnchor="text" w:tblpY="1"/>
        <w:tblOverlap w:val="never"/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172"/>
        <w:gridCol w:w="1321"/>
        <w:gridCol w:w="172"/>
        <w:gridCol w:w="1910"/>
      </w:tblGrid>
      <w:tr w:rsidR="00031F09">
        <w:trPr>
          <w:trHeight w:val="476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по управлению персоналом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А.П.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031F09">
        <w:trPr>
          <w:trHeight w:val="476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А.Г.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031F09">
        <w:trPr>
          <w:trHeight w:val="4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Н.В.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Крановщик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С.С.</w:t>
            </w:r>
          </w:p>
        </w:tc>
      </w:tr>
      <w:tr w:rsidR="00031F09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031F09" w:rsidRDefault="00AE7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1F09" w:rsidRDefault="00031F09">
      <w:pPr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(Образец)</w:t>
      </w:r>
    </w:p>
    <w:p w:rsidR="00031F09" w:rsidRDefault="00031F09">
      <w:pPr>
        <w:rPr>
          <w:rFonts w:hAnsi="Times New Roman" w:cs="Times New Roman"/>
          <w:color w:val="000000"/>
          <w:sz w:val="24"/>
          <w:szCs w:val="24"/>
        </w:rPr>
      </w:pP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</w:p>
    <w:p w:rsidR="00031F09" w:rsidRDefault="00AE7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обязательное психиатрическое освидетельствование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6"/>
        <w:gridCol w:w="216"/>
      </w:tblGrid>
      <w:tr w:rsidR="00031F09">
        <w:trPr>
          <w:trHeight w:val="78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01.09.2022                                                                            </w:t>
            </w:r>
          </w:p>
        </w:tc>
        <w:tc>
          <w:tcPr>
            <w:tcW w:w="47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№ 55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работодателя, адрес электронной почты, контактный номер телефона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«Ромашка»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chamomile@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(3012) 777-77-77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экономической деятельности по ОКВЭД: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41, 41.10 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медицинской организации, фактический адрес ее 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«Медицина» 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Улан-Удэ, ул. Сезам 16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000000000000 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00-00</w:t>
            </w:r>
          </w:p>
          <w:p w:rsidR="00031F09" w:rsidRDefault="00031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 работника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работника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15.07.1986 г.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 работника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структурного подразделения работодателя (при наличии), в котором работник осуществляет отдельный 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(виды)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 работника, направляемого на освидетельствование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 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(виды) деятельности, осуществляемый работником в соответствии с Приложением № 2 к Приказу Минздрава России от 20.05.2022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342н «Об утверждении порядка прохождения обязательного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етельствование»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должностей, непосредственно связанных с управлением транспортными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едствами или управлением движением транспортных средств (п.1)</w:t>
            </w:r>
          </w:p>
          <w:p w:rsidR="00031F09" w:rsidRDefault="00AE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(п.6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статьей 220 Трудового кодекса Российской Федерации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31F09">
        <w:trPr>
          <w:gridAfter w:val="1"/>
          <w:wAfter w:w="216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направления работнику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г.</w:t>
            </w:r>
          </w:p>
        </w:tc>
      </w:tr>
    </w:tbl>
    <w:p w:rsidR="00031F09" w:rsidRDefault="00031F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31F09" w:rsidRDefault="00AE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220 Трудового кодекса Российской Федерации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льности, при осуществлении которых проводится психиатрическое освидетельствование, утвержденных Приказом Минздрава России от 20.05.2022 № 342н «Об утверждении порядка прохождения обязательного психиатрического освидетельствования работниками, осуществляющи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 w:rsidR="00031F09" w:rsidRDefault="00031F0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242"/>
        <w:gridCol w:w="1788"/>
        <w:gridCol w:w="242"/>
        <w:gridCol w:w="2445"/>
      </w:tblGrid>
      <w:tr w:rsidR="00031F09">
        <w:trPr>
          <w:trHeight w:val="5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«Ромашка»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Шувалов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 И.Г.</w:t>
            </w:r>
          </w:p>
        </w:tc>
      </w:tr>
      <w:tr w:rsidR="00031F09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031F09" w:rsidRDefault="00AE7C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выдал:</w:t>
      </w: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1"/>
        <w:gridCol w:w="173"/>
        <w:gridCol w:w="1320"/>
        <w:gridCol w:w="173"/>
        <w:gridCol w:w="1927"/>
      </w:tblGrid>
      <w:tr w:rsidR="00031F09">
        <w:trPr>
          <w:trHeight w:val="539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по управлению персоналом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А.П.</w:t>
            </w:r>
          </w:p>
        </w:tc>
      </w:tr>
      <w:tr w:rsidR="00031F09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031F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F09" w:rsidRDefault="00031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31F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31F09" w:rsidRDefault="00AE7C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(Образец)</w:t>
      </w:r>
    </w:p>
    <w:p w:rsidR="00031F09" w:rsidRDefault="00AE7C4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психиатрическое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освидетельствование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</w:tblGrid>
      <w:tr w:rsidR="00031F09">
        <w:trPr>
          <w:trHeight w:val="353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«Ромашка»</w:t>
            </w:r>
          </w:p>
        </w:tc>
      </w:tr>
      <w:tr w:rsidR="00031F0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F09" w:rsidRDefault="00AE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513"/>
        <w:gridCol w:w="1335"/>
        <w:gridCol w:w="3017"/>
        <w:gridCol w:w="1854"/>
        <w:gridCol w:w="1533"/>
        <w:gridCol w:w="1270"/>
        <w:gridCol w:w="1989"/>
        <w:gridCol w:w="1509"/>
      </w:tblGrid>
      <w:tr w:rsidR="00031F09">
        <w:tc>
          <w:tcPr>
            <w:tcW w:w="540" w:type="dxa"/>
          </w:tcPr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13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335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031F09" w:rsidRDefault="00031F0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854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1533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0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989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выдавшего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031F09" w:rsidRDefault="00031F0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выдавшего</w:t>
            </w:r>
          </w:p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</w:tr>
      <w:tr w:rsidR="00031F09">
        <w:tc>
          <w:tcPr>
            <w:tcW w:w="540" w:type="dxa"/>
            <w:vAlign w:val="center"/>
          </w:tcPr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3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5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3017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854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33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70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</w:p>
        </w:tc>
        <w:tc>
          <w:tcPr>
            <w:tcW w:w="1989" w:type="dxa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А.П., специалист ОУП</w:t>
            </w:r>
          </w:p>
        </w:tc>
        <w:tc>
          <w:tcPr>
            <w:tcW w:w="1509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Васильева</w:t>
            </w:r>
          </w:p>
        </w:tc>
      </w:tr>
      <w:tr w:rsidR="00031F09">
        <w:tc>
          <w:tcPr>
            <w:tcW w:w="540" w:type="dxa"/>
            <w:vAlign w:val="center"/>
          </w:tcPr>
          <w:p w:rsidR="00031F09" w:rsidRDefault="00AE7C4E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3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5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3017" w:type="dxa"/>
            <w:vAlign w:val="center"/>
          </w:tcPr>
          <w:p w:rsidR="00031F09" w:rsidRDefault="00A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Сидор Сидорович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УТТ</w:t>
            </w:r>
          </w:p>
        </w:tc>
        <w:tc>
          <w:tcPr>
            <w:tcW w:w="1533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Крановщик</w:t>
            </w:r>
          </w:p>
        </w:tc>
        <w:tc>
          <w:tcPr>
            <w:tcW w:w="1270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Сидоров</w:t>
            </w:r>
          </w:p>
        </w:tc>
        <w:tc>
          <w:tcPr>
            <w:tcW w:w="1989" w:type="dxa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А.П., специалист ОУП</w:t>
            </w:r>
          </w:p>
        </w:tc>
        <w:tc>
          <w:tcPr>
            <w:tcW w:w="1509" w:type="dxa"/>
            <w:vAlign w:val="center"/>
          </w:tcPr>
          <w:p w:rsidR="00031F09" w:rsidRDefault="00AE7C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Васильева</w:t>
            </w: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F09">
        <w:trPr>
          <w:trHeight w:val="541"/>
        </w:trPr>
        <w:tc>
          <w:tcPr>
            <w:tcW w:w="540" w:type="dxa"/>
            <w:vAlign w:val="center"/>
          </w:tcPr>
          <w:p w:rsidR="00031F09" w:rsidRDefault="00031F09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031F09" w:rsidRDefault="000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F09" w:rsidRDefault="00031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31F09" w:rsidRDefault="00031F0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31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4E" w:rsidRDefault="00AE7C4E">
      <w:pPr>
        <w:spacing w:line="240" w:lineRule="auto"/>
      </w:pPr>
      <w:r>
        <w:separator/>
      </w:r>
    </w:p>
  </w:endnote>
  <w:endnote w:type="continuationSeparator" w:id="0">
    <w:p w:rsidR="00AE7C4E" w:rsidRDefault="00AE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4E" w:rsidRDefault="00AE7C4E">
      <w:pPr>
        <w:spacing w:after="0"/>
      </w:pPr>
      <w:r>
        <w:separator/>
      </w:r>
    </w:p>
  </w:footnote>
  <w:footnote w:type="continuationSeparator" w:id="0">
    <w:p w:rsidR="00AE7C4E" w:rsidRDefault="00AE7C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77E7"/>
    <w:multiLevelType w:val="multilevel"/>
    <w:tmpl w:val="2E0A77E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70"/>
    <w:rsid w:val="00031F09"/>
    <w:rsid w:val="0008547D"/>
    <w:rsid w:val="000D115B"/>
    <w:rsid w:val="00104505"/>
    <w:rsid w:val="001154B8"/>
    <w:rsid w:val="002416F3"/>
    <w:rsid w:val="00271F98"/>
    <w:rsid w:val="002D0784"/>
    <w:rsid w:val="002F7079"/>
    <w:rsid w:val="00337797"/>
    <w:rsid w:val="003F00DE"/>
    <w:rsid w:val="004020E6"/>
    <w:rsid w:val="00511488"/>
    <w:rsid w:val="005514A4"/>
    <w:rsid w:val="005C05D7"/>
    <w:rsid w:val="006D3FF8"/>
    <w:rsid w:val="007B25FB"/>
    <w:rsid w:val="00833796"/>
    <w:rsid w:val="0096357A"/>
    <w:rsid w:val="009C6431"/>
    <w:rsid w:val="00AA35BC"/>
    <w:rsid w:val="00AC500C"/>
    <w:rsid w:val="00AE6507"/>
    <w:rsid w:val="00AE7C4E"/>
    <w:rsid w:val="00BA6D5B"/>
    <w:rsid w:val="00C96070"/>
    <w:rsid w:val="00D47B80"/>
    <w:rsid w:val="00D66907"/>
    <w:rsid w:val="00E60EF4"/>
    <w:rsid w:val="00E76AB6"/>
    <w:rsid w:val="00EE548B"/>
    <w:rsid w:val="00F04BFA"/>
    <w:rsid w:val="00F1181C"/>
    <w:rsid w:val="00F57B70"/>
    <w:rsid w:val="00FA0D55"/>
    <w:rsid w:val="574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F4B"/>
  <w15:docId w15:val="{E83C3C70-F94E-4D2E-A5F6-4E4CF55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  <w:color w:val="auto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  <w:color w:val="auto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Pr>
      <w:color w:val="595959" w:themeColor="text1" w:themeTint="A6"/>
      <w:spacing w:val="15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9">
    <w:name w:val="Заголовок Знак"/>
    <w:basedOn w:val="a0"/>
    <w:link w:val="a8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Подзаголовок Знак"/>
    <w:basedOn w:val="a0"/>
    <w:link w:val="aa"/>
    <w:uiPriority w:val="11"/>
    <w:qFormat/>
    <w:rPr>
      <w:color w:val="595959" w:themeColor="text1" w:themeTint="A6"/>
      <w:spacing w:val="15"/>
    </w:r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qFormat/>
    <w:rPr>
      <w:i/>
      <w:iCs/>
      <w:color w:val="4472C4" w:themeColor="accent1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Сильное выделение1"/>
    <w:basedOn w:val="a0"/>
    <w:uiPriority w:val="21"/>
    <w:qFormat/>
    <w:rPr>
      <w:i/>
      <w:iCs/>
      <w:color w:val="4472C4" w:themeColor="accent1"/>
    </w:rPr>
  </w:style>
  <w:style w:type="character" w:customStyle="1" w:styleId="13">
    <w:name w:val="Слабая ссылка1"/>
    <w:basedOn w:val="a0"/>
    <w:uiPriority w:val="31"/>
    <w:qFormat/>
    <w:rPr>
      <w:smallCaps/>
      <w:color w:val="404040" w:themeColor="text1" w:themeTint="BF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15">
    <w:name w:val="Название книги1"/>
    <w:basedOn w:val="a0"/>
    <w:uiPriority w:val="33"/>
    <w:qFormat/>
    <w:rPr>
      <w:b/>
      <w:bCs/>
      <w:i/>
      <w:iC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680E-75BE-4E24-B1A9-C69D407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Анастасия Геннадьевна</dc:creator>
  <cp:lastModifiedBy>Виталий Андреевич Воронов</cp:lastModifiedBy>
  <cp:revision>2</cp:revision>
  <dcterms:created xsi:type="dcterms:W3CDTF">2022-08-24T04:41:00Z</dcterms:created>
  <dcterms:modified xsi:type="dcterms:W3CDTF">2022-08-24T04:41:00Z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39D7BE9D54C141C7833CF7B06C4B706A</vt:lpwstr>
  </property>
</Properties>
</file>