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spacing w:before="108" w:after="108"/>
        <w:rPr/>
      </w:pPr>
      <w:hyperlink r:id="rId2">
        <w:r>
          <w:rPr>
            <w:rStyle w:val="Style13"/>
          </w:rPr>
          <w:t>Постановление Правительства РФ от 19 мая 2007 г. N 300 "Об утверждении перечня заболеваний, препятствующих исполнению обязанностей частного охранника"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со </w:t>
      </w:r>
      <w:hyperlink r:id="rId3">
        <w:r>
          <w:rPr>
            <w:rStyle w:val="Style13"/>
          </w:rPr>
          <w:t>статьей 11.1</w:t>
        </w:r>
      </w:hyperlink>
      <w:r>
        <w:rPr>
          <w:rStyle w:val="Style15"/>
        </w:rPr>
        <w:t xml:space="preserve"> Закона Российской Федерации "О частной детективной и охранной деятельности в Российской Федерации" Правительство Российской Федерации постановляет: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Утвердить прилагаемый </w:t>
      </w:r>
      <w:hyperlink w:anchor="sub_1000">
        <w:r>
          <w:rPr>
            <w:rStyle w:val="Style13"/>
          </w:rPr>
          <w:t>перечень</w:t>
        </w:r>
      </w:hyperlink>
      <w:r>
        <w:rPr>
          <w:rStyle w:val="Style15"/>
        </w:rPr>
        <w:t xml:space="preserve"> заболеваний, препятствующих исполнению обязанностей частного охранника.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" w:name="sub_1"/>
      <w:bookmarkStart w:id="2" w:name="sub_1"/>
      <w:bookmarkEnd w:id="2"/>
    </w:p>
    <w:tbl>
      <w:tblPr>
        <w:tblW w:w="10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8"/>
        <w:gridCol w:w="3431"/>
      </w:tblGrid>
      <w:tr>
        <w:trPr/>
        <w:tc>
          <w:tcPr>
            <w:tcW w:w="6868" w:type="dxa"/>
            <w:tcBorders/>
            <w:shd w:fill="auto" w:val="clear"/>
          </w:tcPr>
          <w:p>
            <w:pPr>
              <w:pStyle w:val="Style22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1" w:type="dxa"/>
            <w:tcBorders/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М. Фрадков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hanging="0"/>
        <w:rPr/>
      </w:pPr>
      <w:r>
        <w:rPr>
          <w:rStyle w:val="Style15"/>
        </w:rPr>
        <w:t>Москва</w:t>
      </w:r>
    </w:p>
    <w:p>
      <w:pPr>
        <w:pStyle w:val="Normal"/>
        <w:bidi w:val="0"/>
        <w:ind w:hanging="0"/>
        <w:rPr/>
      </w:pPr>
      <w:r>
        <w:rPr>
          <w:rStyle w:val="Style15"/>
        </w:rPr>
        <w:t>19 мая 2007 г.</w:t>
      </w:r>
    </w:p>
    <w:p>
      <w:pPr>
        <w:pStyle w:val="Normal"/>
        <w:bidi w:val="0"/>
        <w:ind w:hanging="0"/>
        <w:rPr/>
      </w:pPr>
      <w:r>
        <w:rPr>
          <w:rStyle w:val="Style15"/>
        </w:rPr>
        <w:t>N 300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1"/>
        <w:bidi w:val="0"/>
        <w:spacing w:before="108" w:after="108"/>
        <w:ind w:hanging="0"/>
        <w:jc w:val="center"/>
        <w:rPr/>
      </w:pPr>
      <w:bookmarkStart w:id="3" w:name="sub_1000"/>
      <w:bookmarkEnd w:id="3"/>
      <w:r>
        <w:rPr/>
        <w:t>Перечень</w:t>
        <w:br/>
        <w:t>заболеваний, препятствующих исполнению обязанностей частного охранника</w:t>
        <w:br/>
        <w:t xml:space="preserve">(утв. </w:t>
      </w:r>
      <w:hyperlink w:anchor="sub_0">
        <w:r>
          <w:rPr>
            <w:rStyle w:val="Style13"/>
          </w:rPr>
          <w:t>постановлением</w:t>
        </w:r>
      </w:hyperlink>
      <w:r>
        <w:rPr/>
        <w:t xml:space="preserve"> Правительства РФ от 19 мая 2007 г. N 300)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4" w:name="sub_1000"/>
      <w:bookmarkStart w:id="5" w:name="sub_1000"/>
      <w:bookmarkEnd w:id="5"/>
    </w:p>
    <w:tbl>
      <w:tblPr>
        <w:tblW w:w="101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1"/>
        <w:gridCol w:w="7350"/>
      </w:tblGrid>
      <w:tr>
        <w:trPr/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r>
              <w:rPr/>
              <w:t xml:space="preserve">Код заболеваний по </w:t>
            </w:r>
            <w:hyperlink r:id="rId4">
              <w:r>
                <w:rPr>
                  <w:rStyle w:val="Style13"/>
                  <w:b w:val="false"/>
                  <w:color w:val="106BBE"/>
                </w:rPr>
                <w:t>МКБ-10</w:t>
              </w:r>
            </w:hyperlink>
            <w:r>
              <w:rPr/>
              <w:t xml:space="preserve"> </w:t>
            </w:r>
            <w:hyperlink w:anchor="sub_1111">
              <w:r>
                <w:rPr>
                  <w:rStyle w:val="Style13"/>
                  <w:b w:val="false"/>
                  <w:color w:val="106BBE"/>
                </w:rPr>
                <w:t>*</w:t>
              </w:r>
            </w:hyperlink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tabs>
                <w:tab w:val="clear" w:pos="720"/>
              </w:tabs>
              <w:bidi w:val="0"/>
              <w:ind w:hanging="0"/>
              <w:jc w:val="center"/>
              <w:rPr/>
            </w:pPr>
            <w:r>
              <w:rPr/>
              <w:t>Наименование заболеваний</w:t>
            </w:r>
          </w:p>
        </w:tc>
      </w:tr>
      <w:tr>
        <w:trPr/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6" w:name="sub_1001"/>
            <w:r>
              <w:rPr/>
              <w:t xml:space="preserve">1. </w:t>
            </w:r>
            <w:hyperlink r:id="rId5">
              <w:r>
                <w:rPr>
                  <w:rStyle w:val="Style13"/>
                  <w:b w:val="false"/>
                  <w:color w:val="106BBE"/>
                </w:rPr>
                <w:t>F00-F09</w:t>
              </w:r>
            </w:hyperlink>
            <w:r>
              <w:rPr/>
              <w:t xml:space="preserve">, </w:t>
            </w:r>
            <w:hyperlink r:id="rId6">
              <w:r>
                <w:rPr>
                  <w:rStyle w:val="Style13"/>
                  <w:b w:val="false"/>
                  <w:color w:val="106BBE"/>
                </w:rPr>
                <w:t>F20-F79</w:t>
              </w:r>
            </w:hyperlink>
            <w:bookmarkEnd w:id="6"/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ind w:hanging="0"/>
              <w:rPr/>
            </w:pPr>
            <w:r>
              <w:rPr/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</w:tr>
      <w:tr>
        <w:trPr/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bookmarkStart w:id="7" w:name="sub_1002"/>
            <w:r>
              <w:rPr/>
              <w:t xml:space="preserve">2. </w:t>
            </w:r>
            <w:hyperlink r:id="rId7">
              <w:r>
                <w:rPr>
                  <w:rStyle w:val="Style13"/>
                  <w:b w:val="false"/>
                  <w:color w:val="106BBE"/>
                </w:rPr>
                <w:t>F10-F19</w:t>
              </w:r>
            </w:hyperlink>
            <w:bookmarkEnd w:id="7"/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ind w:hanging="0"/>
              <w:rPr/>
            </w:pPr>
            <w:r>
              <w:rPr/>
              <w:t>Психические расстройства и расстройства поведения, связанные с употреблением психоактивных веществ</w:t>
            </w:r>
          </w:p>
        </w:tc>
      </w:tr>
      <w:tr>
        <w:trPr/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  <w:t xml:space="preserve">3. </w:t>
            </w:r>
            <w:hyperlink r:id="rId8">
              <w:r>
                <w:rPr>
                  <w:rStyle w:val="Style13"/>
                  <w:b w:val="false"/>
                  <w:color w:val="106BBE"/>
                </w:rPr>
                <w:t>Н52-Н54</w:t>
              </w:r>
            </w:hyperlink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tabs>
                <w:tab w:val="clear" w:pos="720"/>
              </w:tabs>
              <w:bidi w:val="0"/>
              <w:ind w:hanging="0"/>
              <w:rPr/>
            </w:pPr>
            <w:r>
              <w:rPr/>
              <w:t>Острота зрения с коррекцией ниже 0,5 на одном глазу и 0,2 на другом глазу или 0,7 на одном глазу при отсутствии зрения на другом</w:t>
            </w:r>
          </w:p>
        </w:tc>
      </w:tr>
    </w:tbl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hanging="0"/>
        <w:rPr/>
      </w:pPr>
      <w:r>
        <w:rPr>
          <w:rStyle w:val="Style15"/>
        </w:rPr>
        <w:t>______________________________</w:t>
      </w:r>
    </w:p>
    <w:p>
      <w:pPr>
        <w:pStyle w:val="Normal"/>
        <w:bidi w:val="0"/>
        <w:ind w:firstLine="720"/>
        <w:rPr/>
      </w:pPr>
      <w:bookmarkStart w:id="8" w:name="sub_1111"/>
      <w:bookmarkEnd w:id="8"/>
      <w:r>
        <w:rPr>
          <w:rStyle w:val="Style15"/>
        </w:rPr>
        <w:t>* Международная статистическая классификация болезней и проблем, связанных со здоровьем (10-й пересмотр).</w:t>
      </w:r>
    </w:p>
    <w:p>
      <w:pPr>
        <w:pStyle w:val="Normal"/>
        <w:bidi w:val="0"/>
        <w:ind w:firstLine="720"/>
        <w:rPr/>
      </w:pPr>
      <w:r>
        <w:rPr/>
      </w:r>
      <w:bookmarkStart w:id="9" w:name="sub_1111"/>
      <w:bookmarkStart w:id="10" w:name="sub_1111"/>
      <w:bookmarkEnd w:id="10"/>
    </w:p>
    <w:sectPr>
      <w:headerReference w:type="default" r:id="rId9"/>
      <w:footerReference w:type="default" r:id="rId10"/>
      <w:type w:val="nextPage"/>
      <w:pgSz w:w="11906" w:h="16800"/>
      <w:pgMar w:left="800" w:right="800" w:header="720" w:top="1440" w:footer="72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98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</w:tblPr>
    <w:tblGrid>
      <w:gridCol w:w="3432"/>
      <w:gridCol w:w="3433"/>
      <w:gridCol w:w="3433"/>
    </w:tblGrid>
    <w:tr>
      <w:trPr/>
      <w:tc>
        <w:tcPr>
          <w:tcW w:w="3432" w:type="dxa"/>
          <w:tcBorders/>
          <w:shd w:fill="auto" w:val="clear"/>
        </w:tcPr>
        <w:p>
          <w:pPr>
            <w:pStyle w:val="Style26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> DATE \@"dd\.MM\.yyyy" </w:instrText>
          </w:r>
          <w:r>
            <w:rPr/>
            <w:fldChar w:fldCharType="separate"/>
          </w:r>
          <w:r>
            <w:rPr/>
            <w:t>06.05.2021</w:t>
          </w:r>
          <w:r>
            <w:rPr/>
            <w:fldChar w:fldCharType="end"/>
          </w:r>
          <w:r>
            <w:rPr>
              <w:sz w:val="20"/>
            </w:rPr>
            <w:t xml:space="preserve"> 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26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center"/>
            <w:rPr/>
          </w:pPr>
          <w:r>
            <w:rPr>
              <w:sz w:val="20"/>
            </w:rPr>
            <w:t>Система ГАРАНТ</w:t>
          </w:r>
        </w:p>
      </w:tc>
      <w:tc>
        <w:tcPr>
          <w:tcW w:w="3433" w:type="dxa"/>
          <w:tcBorders/>
          <w:shd w:fill="auto" w:val="clear"/>
        </w:tcPr>
        <w:p>
          <w:pPr>
            <w:pStyle w:val="Style26"/>
            <w:tabs>
              <w:tab w:val="clear" w:pos="720"/>
            </w:tabs>
            <w:suppressAutoHyphens w:val="false"/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>
              <w:sz w:val="20"/>
            </w:rPr>
            <w:t>/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Normal"/>
      <w:bidi w:val="0"/>
      <w:rPr>
        <w:rFonts w:ascii="Arial" w:hAnsi="Arial"/>
      </w:rPr>
    </w:pPr>
    <w:r>
      <w:rPr>
        <w:rFonts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AutoHyphens w:val="false"/>
      <w:bidi w:val="0"/>
      <w:spacing w:before="0" w:after="0"/>
      <w:ind w:left="0" w:hanging="0"/>
      <w:jc w:val="left"/>
      <w:rPr/>
    </w:pPr>
    <w:r>
      <w:rPr>
        <w:sz w:val="20"/>
      </w:rPr>
      <w:t>Постановление Правительства РФ от 19 мая 2007 г. N 300 "Об утверждении перечня заболеваний, препятствующих…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b w:val="false"/>
      <w:color w:val="106BBE"/>
    </w:rPr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Цветовое выделение для Текст"/>
    <w:qFormat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Прижатый влево"/>
    <w:basedOn w:val="Normal"/>
    <w:qFormat/>
    <w:pPr>
      <w:ind w:hanging="0"/>
      <w:jc w:val="left"/>
    </w:pPr>
    <w:rPr/>
  </w:style>
  <w:style w:type="paragraph" w:styleId="Style23">
    <w:name w:val="Нормальный (таблица)"/>
    <w:basedOn w:val="Normal"/>
    <w:qFormat/>
    <w:pPr>
      <w:ind w:hanging="0"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ind w:hanging="0"/>
      <w:jc w:val="center"/>
    </w:pPr>
    <w:rPr>
      <w:rFonts w:ascii="Times New Roman" w:hAnsi="Times New Roman"/>
      <w:sz w:val="20"/>
    </w:rPr>
  </w:style>
  <w:style w:type="paragraph" w:styleId="Style26">
    <w:name w:val="Footer"/>
    <w:basedOn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12153561/0" TargetMode="External"/><Relationship Id="rId3" Type="http://schemas.openxmlformats.org/officeDocument/2006/relationships/hyperlink" Target="http://internet.garant.ru/document/redirect/10102892/111" TargetMode="External"/><Relationship Id="rId4" Type="http://schemas.openxmlformats.org/officeDocument/2006/relationships/hyperlink" Target="http://internet.garant.ru/document/redirect/4100000/0" TargetMode="External"/><Relationship Id="rId5" Type="http://schemas.openxmlformats.org/officeDocument/2006/relationships/hyperlink" Target="http://internet.garant.ru/document/redirect/4100000/5001" TargetMode="External"/><Relationship Id="rId6" Type="http://schemas.openxmlformats.org/officeDocument/2006/relationships/hyperlink" Target="http://internet.garant.ru/document/redirect/4100000/1210" TargetMode="External"/><Relationship Id="rId7" Type="http://schemas.openxmlformats.org/officeDocument/2006/relationships/hyperlink" Target="http://internet.garant.ru/document/redirect/4100000/5010" TargetMode="External"/><Relationship Id="rId8" Type="http://schemas.openxmlformats.org/officeDocument/2006/relationships/hyperlink" Target="http://internet.garant.ru/document/redirect/4100000/29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LibreOffice/6.3.5.2$Linux_X86_64 LibreOffice_project/30$Build-2</Application>
  <Pages>1</Pages>
  <Words>173</Words>
  <Characters>1207</Characters>
  <CharactersWithSpaces>1358</CharactersWithSpaces>
  <Paragraphs>23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ru-RU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